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0ADB" w14:textId="13A8D081" w:rsidR="00815CE5" w:rsidRPr="00815CE5" w:rsidRDefault="00815CE5" w:rsidP="00815CE5">
      <w:pPr>
        <w:spacing w:line="276" w:lineRule="auto"/>
        <w:ind w:left="-993" w:right="-567"/>
        <w:jc w:val="both"/>
        <w:rPr>
          <w:rFonts w:ascii="Arial" w:hAnsi="Arial" w:cs="Arial"/>
          <w:b/>
          <w:bCs/>
          <w:sz w:val="24"/>
          <w:szCs w:val="24"/>
        </w:rPr>
      </w:pPr>
      <w:r w:rsidRPr="00815CE5">
        <w:rPr>
          <w:rFonts w:ascii="Arial" w:hAnsi="Arial" w:cs="Arial"/>
          <w:b/>
          <w:bCs/>
          <w:sz w:val="24"/>
          <w:szCs w:val="24"/>
        </w:rPr>
        <w:t xml:space="preserve">DE LOS SÍNDICOS </w:t>
      </w:r>
    </w:p>
    <w:p w14:paraId="78F6A88A" w14:textId="77777777" w:rsidR="00815CE5" w:rsidRPr="00815CE5" w:rsidRDefault="00815CE5" w:rsidP="00815CE5">
      <w:pPr>
        <w:spacing w:line="276" w:lineRule="auto"/>
        <w:ind w:left="-993" w:right="-567"/>
        <w:jc w:val="both"/>
        <w:rPr>
          <w:rFonts w:ascii="Arial" w:hAnsi="Arial" w:cs="Arial"/>
          <w:sz w:val="24"/>
          <w:szCs w:val="24"/>
        </w:rPr>
      </w:pPr>
      <w:r w:rsidRPr="00815CE5">
        <w:rPr>
          <w:rFonts w:ascii="Arial" w:hAnsi="Arial" w:cs="Arial"/>
          <w:sz w:val="24"/>
          <w:szCs w:val="24"/>
        </w:rPr>
        <w:t xml:space="preserve">ARTÍCULO 67.- En el reglamento que expida el Ayuntamiento, se podrá señalar las facultades y obligaciones de los síndicos, las cuales podrán ser, entre otras, las siguientes: I. Vigilar, procurar y defender los intereses municipales; II. Representar jurídicamente al Ayuntamiento y en su caso nombrar apoderados; II Bis. Supervisar a los apoderados en la correcta atención, seguimiento y defensa de los conflictos laborales que involucren a la administración municipal; Fracción adicionada, P.O. Alcance dos del 17 de enero de 2024. III. Cuidar que se observen escrupulosamente las disposiciones de esta Ley, para el efecto de sancionar cualquier infracción que se cometa; IV. Revisar y firmar la cuenta pública, que deberá remitirse al Congreso del Estado conforme a la legislación vigente e informar al Ayuntamiento, vigilando y preservando el acceso a la información que sea requerida por los miembros del Ayuntamiento; V. Revisar y firmar los cortes de caja de la tesorería municipal y cuidar que la aplicación de los gastos se haga con todos los requisitos legales y conforme al presupuesto respectivo; V Bis. Participar en la elaboración del presupuesto en lo relativo al pago de pasivos provenientes de conflictos laborales; Fracción adicionada, P.O. Alcance dos del 17 de enero de 2024. VI. Participar en la formación del inventario general de los bienes que integran el patrimonio municipal, a que se refiere el artículo 93 de esta Ley; VII. Legalizar la propiedad de los bienes municipales; Ley Orgánica Municipal para el Estado de Hidalgo. Instituto de Estudios Legislativos. 40 VIII. Demandar ante las autoridades competentes la responsabilidad en que incurran en el desempeño de sus cargos, los funcionarios y empleados del Municipio; IX. Vigilar los negocios del municipio, a fin de evitar que se venzan los términos legales y hacer las promociones o gestiones que el caso amerite; X. Intervenir en la formulación y actualización del inventario general de bienes muebles e inmuebles propiedad del municipio y hacer que se inscriban en un libro especial con expresión de sus valores y características de identificación, así como el destino de los mismos; XI. Vigilar que las multas que impongan las autoridades municipales, se hagan de acuerdo a las tarifas establecidas e ingresen a la tesorería previo el comprobante que debe expedirse en cada caso; XII. Asistir a los remates públicos que se verifiquen, en los que tenga interés el municipio, para procurar que se finquen al mejor postor y que se cumplan los términos y demás formalidades previstas por la Ley; XIII. Tramitar las expropiaciones que por causa de utilidad pública fueren necesarias, por los medios que estimen convenientes y previa autorización del Ayuntamiento; XIV. Dar cuenta al </w:t>
      </w:r>
      <w:proofErr w:type="gramStart"/>
      <w:r w:rsidRPr="00815CE5">
        <w:rPr>
          <w:rFonts w:ascii="Arial" w:hAnsi="Arial" w:cs="Arial"/>
          <w:sz w:val="24"/>
          <w:szCs w:val="24"/>
        </w:rPr>
        <w:t>Presidente</w:t>
      </w:r>
      <w:proofErr w:type="gramEnd"/>
      <w:r w:rsidRPr="00815CE5">
        <w:rPr>
          <w:rFonts w:ascii="Arial" w:hAnsi="Arial" w:cs="Arial"/>
          <w:sz w:val="24"/>
          <w:szCs w:val="24"/>
        </w:rPr>
        <w:t xml:space="preserve"> y al Ayuntamiento del arreglo definitivo que se hubiese logrado en los asuntos y del estado que guarden los mismos, a fin de dictar las providencias necesarias; XIV Bis. Presentar por escrito un informe anual de actividades y de gestión durante el mes de agosto, al Ayuntamiento; Fracción adicionada, P.O. 28 de marzo de 2022. XIV Ter. Informar al presidente o presidenta sobre cualquier irregularidad en la atención o defensa de los litigios laborales seguidos ante los tribunales competentes; Fracción adicionada, P.O. Alcance dos del 17 de enero de 2024. XV. Presentar ante la Contraloría Municipal, su declaración patrimonial inicial, dentro de los sesenta días naturales siguientes a la toma de posesión; de modificación patrimonial, durante el mes de mayo de cada año; y de conclusión de encargo, dentro de los sesenta días naturales siguientes a ésta; XVI. Revisar el cumplimiento de las obligaciones de Transparencia y Acceso a la Información Publica conforme a la Ley en la materia; y XVII.- Las demás que le concedan o le impongan la Ley, los reglamentos y acuerdos del Ayuntamiento. Los Síndicos concurrirán a las sesiones del Ayuntamiento, </w:t>
      </w:r>
      <w:r w:rsidRPr="00815CE5">
        <w:rPr>
          <w:rFonts w:ascii="Arial" w:hAnsi="Arial" w:cs="Arial"/>
          <w:sz w:val="24"/>
          <w:szCs w:val="24"/>
        </w:rPr>
        <w:lastRenderedPageBreak/>
        <w:t>con voz y voto; percibirán su dieta de asistencia que señale el presupuesto de egresos del Municipio y no podrán, en ningún caso, desempeñar cargos, empleos o comisiones remuneradas en la Administración Pública Municipal. Cuando en el municipio de que se trate existan dos Síndicos, uno jurídico y el otro hacendario, al primero le corresponderán las facultades signadas en las fracciones I, II, II Bis, III, V Bis, VII, VIII, IX, XII, XIII, XIV, XIV Bis, XIV Ter y XVI; al segundo, las contenidas en las fracciones IV, V, VI, X y XI. Párrafo reformado, P.O. Alcance dos del 17 de enero de 2024.</w:t>
      </w:r>
    </w:p>
    <w:p w14:paraId="54A25F45" w14:textId="5D6848F8" w:rsidR="00D623ED" w:rsidRPr="00815CE5" w:rsidRDefault="00815CE5" w:rsidP="00815CE5">
      <w:pPr>
        <w:spacing w:line="276" w:lineRule="auto"/>
        <w:ind w:left="-993" w:right="-567"/>
        <w:jc w:val="both"/>
        <w:rPr>
          <w:rFonts w:ascii="Arial" w:hAnsi="Arial" w:cs="Arial"/>
          <w:sz w:val="24"/>
          <w:szCs w:val="24"/>
        </w:rPr>
      </w:pPr>
      <w:r w:rsidRPr="00815CE5">
        <w:rPr>
          <w:rFonts w:ascii="Arial" w:hAnsi="Arial" w:cs="Arial"/>
          <w:sz w:val="24"/>
          <w:szCs w:val="24"/>
        </w:rPr>
        <w:t>ARTÍCULO 68.- Los Síndicos están impedidos para desistirse, transigir, comprometer en arbitrajes, hacer cesión de bienes o arbitrios, salvo autorización expresa que, en cada caso, le otorguen las dos terceras partes de los integrantes del Ayuntamiento.</w:t>
      </w:r>
    </w:p>
    <w:sectPr w:rsidR="00D623ED" w:rsidRPr="00815CE5"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815CE5"/>
    <w:rsid w:val="00D623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4055</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2024-06-11T17:26:00Z</dcterms:created>
  <dcterms:modified xsi:type="dcterms:W3CDTF">2024-06-11T17:26:00Z</dcterms:modified>
</cp:coreProperties>
</file>