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C55B" w14:textId="3A39C662" w:rsidR="009A30C4" w:rsidRPr="009A30C4" w:rsidRDefault="009A30C4" w:rsidP="009A30C4">
      <w:pPr>
        <w:spacing w:line="276" w:lineRule="auto"/>
        <w:ind w:left="-1134"/>
        <w:jc w:val="both"/>
        <w:rPr>
          <w:rFonts w:ascii="Arial" w:hAnsi="Arial" w:cs="Arial"/>
          <w:b/>
          <w:bCs/>
        </w:rPr>
      </w:pPr>
      <w:r w:rsidRPr="009A30C4">
        <w:rPr>
          <w:rFonts w:ascii="Arial" w:hAnsi="Arial" w:cs="Arial"/>
          <w:b/>
          <w:bCs/>
        </w:rPr>
        <w:t>DE LAS AUTORIDADES CATASTRALES EN EL ESTADO Y SUS ATRIBUCIONES</w:t>
      </w:r>
    </w:p>
    <w:p w14:paraId="75429081" w14:textId="066C6B44" w:rsidR="009A30C4" w:rsidRPr="009A30C4" w:rsidRDefault="009A30C4" w:rsidP="009A30C4">
      <w:pPr>
        <w:spacing w:line="276" w:lineRule="auto"/>
        <w:ind w:left="-1134"/>
        <w:jc w:val="both"/>
        <w:rPr>
          <w:rFonts w:ascii="Arial" w:hAnsi="Arial" w:cs="Arial"/>
        </w:rPr>
      </w:pPr>
      <w:r w:rsidRPr="009A30C4">
        <w:rPr>
          <w:rFonts w:ascii="Arial" w:hAnsi="Arial" w:cs="Arial"/>
        </w:rPr>
        <w:t>Artículo 2. La interpretación y aplicación de esta Ley y su Reglamento, corresponden en el ámbito de su competencia al Poder Ejecutivo Estatal a través de las Autoridades Catastrales Estatales y a los Ayuntamientos, sin perjuicio de lo que dispongan otros ordenamientos.</w:t>
      </w:r>
    </w:p>
    <w:p w14:paraId="63E05E4F" w14:textId="70E27C4F" w:rsidR="009A30C4" w:rsidRPr="009A30C4" w:rsidRDefault="009A30C4" w:rsidP="00217B93">
      <w:pPr>
        <w:spacing w:line="276" w:lineRule="auto"/>
        <w:ind w:left="-1134"/>
        <w:jc w:val="both"/>
        <w:rPr>
          <w:rFonts w:ascii="Arial" w:hAnsi="Arial" w:cs="Arial"/>
          <w:b/>
          <w:bCs/>
        </w:rPr>
      </w:pPr>
      <w:r w:rsidRPr="009A30C4">
        <w:rPr>
          <w:rFonts w:ascii="Arial" w:hAnsi="Arial" w:cs="Arial"/>
        </w:rPr>
        <w:t>Artículo 17. Son atribuciones de las autoridades catastrales municipales: I. Inscribir en el Padrón Catastral del Municipio, los predios que se ubiquen dentro de su circunscripción territorial y asignarles la respectiva clave única catastral; II. Integrar, administrar y mantener actualizado el Padrón Catastral de su Municipio, de conformidad con los procedimientos previstos en esta Ley y demás disposiciones aplicables; III. Registrar los cambios que se operen en los predios ubicados en la circunscripción del Municipio y que por cualquier concepto modifiquen los datos contenidos en el Padrón Catastral; IV. Producir y conservar la información catastral con apego a la normatividad establecida en esta Ley y demás legislación aplicable. así como realizar coordinar y supervisar las operaciones catastrales en el ámbito de su jurisdicción; V. Solicitar a las dependencias y entidades federales, estatales y municipales, así como a los propietarios o poseedores de predios, los datos, documentos e informes que sean necesarios para coadyuvar a la integración y actualización del Padrón Catastral; VI. Recibir de los propietarios o poseedores, las solicitudes de inscripción de predios en el Padrón Catastral Municipal correspondiente atendiendo los avisos que señale el Reglamento de esta Ley; Ley de Catastro del Estado de Hidalgo. Instituto de Estudios Legislativos. VII. Celebrar Convenios de Coordinación y Colaboración Administrativa con el Gobierno del Estado, el Gobierno Federal y los municipios de la Entidad, de conformidad con esta Ley y demás disposiciones aplicables, para el ejercicio de las atribuciones conferidas en esta Ley; VIII. Proponer anualmente al Congreso del Estado las tablas de valores unitarios de suelo y construcciones; IX. En base a las tablas de valores unitarios de suelo y construcciones aprobados por el Congreso del Estado, determinar y asignar los valores catastrales correspondientes a cada predio y ante la ausencia de estos últimos los de carácter provisional; X. Localizar cada predio mediante su deslinde y medida e incorporarlo al Padrón Catastral; XI. Elaborar y actualizar permanentemente la cartografía catastral del territorio de su Municipio; XII. Llevar a cabo la inspección de los predios ubicados en la circunscripción territorial de su Municipio, con el objeto de obtener información para conformar y actualizar su Padrón Catastral; XIII. Efectuar la investigación de valores del mercado inmobiliario, así como de la infraestructura, equipamiento urbano y costos de construcciones que servirán de base para la elaboración de la propuesta de tablas de valores unitarios de suelo y construcciones; XIV. Solicitar al Instituto el apoyo y asesoría técnica que requieran, para la elaboración de tablas de valores unitarios de suelo y construcciones; XV. Elaborar los anteproyectos de las tablas de valores unitarios del suelo y construcciones para su remisión al Ayuntamiento; XVI. Expedir avalúos catastrales, cédulas catastrales y constancias de información de los predios ubicados en su circunscripción territorial a quienes acrediten interés legítimo; XVII. Proporcionar al Instituto, en términos de esta Ley, la información y documentación necesaria para integrar y mantener actualizado el Catastro del Estado; XVIII. Expedir certificaciones a solicitud de los interesados que acrediten el interés legítimo, copias de los planos, y demás documentos relacionados con los predios inscritos en el Catastro de su Municipio; XIX. Conocer y resolver sobre la aclaración y el recurso de revocación a que se refiere esta Ley; XX. Imponer las sanciones por infracciones a la presente Ley; XXI. Proteger y resguardar la información catastral que se integra en el Sistema de Información Territorial bajo su custodia, a fin de garantizar su entrega a la siguiente administración municipal; y XXII. Las demás que en materia de su competencia les señalen esta Ley, su Reglamento y otras disposiciones aplicables a la materia.</w:t>
      </w:r>
    </w:p>
    <w:sectPr w:rsidR="009A30C4" w:rsidRPr="009A30C4" w:rsidSect="009A30C4">
      <w:pgSz w:w="12240" w:h="15840"/>
      <w:pgMar w:top="1417" w:right="61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ED"/>
    <w:rsid w:val="000477CF"/>
    <w:rsid w:val="000A1EC0"/>
    <w:rsid w:val="000B22CB"/>
    <w:rsid w:val="001124FB"/>
    <w:rsid w:val="00217B93"/>
    <w:rsid w:val="00236740"/>
    <w:rsid w:val="0024724D"/>
    <w:rsid w:val="00281DF5"/>
    <w:rsid w:val="002A6B05"/>
    <w:rsid w:val="0035382C"/>
    <w:rsid w:val="00387894"/>
    <w:rsid w:val="003A55F8"/>
    <w:rsid w:val="00420108"/>
    <w:rsid w:val="0045593A"/>
    <w:rsid w:val="004E7C82"/>
    <w:rsid w:val="005217D6"/>
    <w:rsid w:val="005400FA"/>
    <w:rsid w:val="00555862"/>
    <w:rsid w:val="00623261"/>
    <w:rsid w:val="006C3988"/>
    <w:rsid w:val="006D6882"/>
    <w:rsid w:val="00714EA6"/>
    <w:rsid w:val="00735035"/>
    <w:rsid w:val="00815CE5"/>
    <w:rsid w:val="00830FEC"/>
    <w:rsid w:val="008400A2"/>
    <w:rsid w:val="008D4CA6"/>
    <w:rsid w:val="00955B30"/>
    <w:rsid w:val="00995B82"/>
    <w:rsid w:val="009A30C4"/>
    <w:rsid w:val="00A53A83"/>
    <w:rsid w:val="00AB1526"/>
    <w:rsid w:val="00B44E15"/>
    <w:rsid w:val="00C16D5B"/>
    <w:rsid w:val="00C538F9"/>
    <w:rsid w:val="00D50C6C"/>
    <w:rsid w:val="00D623ED"/>
    <w:rsid w:val="00E03216"/>
    <w:rsid w:val="00E521C3"/>
    <w:rsid w:val="00F94E3B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53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82C"/>
    <w:rPr>
      <w:rFonts w:ascii="Times New Roman" w:eastAsia="Times New Roman" w:hAnsi="Times New Roman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contr</cp:lastModifiedBy>
  <cp:revision>2</cp:revision>
  <dcterms:created xsi:type="dcterms:W3CDTF">2024-06-11T20:22:00Z</dcterms:created>
  <dcterms:modified xsi:type="dcterms:W3CDTF">2024-06-11T20:22:00Z</dcterms:modified>
</cp:coreProperties>
</file>