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AAF2" w14:textId="77777777" w:rsidR="001120F4" w:rsidRDefault="00F94E3B" w:rsidP="0097550D">
      <w:pPr>
        <w:spacing w:line="276" w:lineRule="auto"/>
        <w:ind w:left="-1134"/>
        <w:jc w:val="both"/>
        <w:rPr>
          <w:rFonts w:ascii="Arial" w:hAnsi="Arial" w:cs="Arial"/>
          <w:sz w:val="24"/>
          <w:szCs w:val="24"/>
        </w:rPr>
      </w:pPr>
      <w:r w:rsidRPr="00F94E3B">
        <w:rPr>
          <w:rFonts w:ascii="Arial" w:hAnsi="Arial" w:cs="Arial"/>
          <w:sz w:val="24"/>
          <w:szCs w:val="24"/>
        </w:rPr>
        <w:t xml:space="preserve">Artículo 9.- En materia de adquisiciones, arrendamientos y servicios, los titulares de las dependencias </w:t>
      </w:r>
      <w:r w:rsidR="00735035" w:rsidRPr="00F94E3B">
        <w:rPr>
          <w:rFonts w:ascii="Arial" w:hAnsi="Arial" w:cs="Arial"/>
          <w:sz w:val="24"/>
          <w:szCs w:val="24"/>
        </w:rPr>
        <w:t xml:space="preserve">y los órganos de gobierno de las entidades serán los responsables de que, en la adopción e instrumentación de las acciones que deban llevar a cabo en cumplimiento de esta Ley, se observen criterios que promuevan la modernización y desarrollo administrativo, la descentralización de funciones y la efectiva delegación de facultades. </w:t>
      </w:r>
    </w:p>
    <w:p w14:paraId="081AD16C" w14:textId="5D63C2AE" w:rsidR="00F94E3B" w:rsidRPr="00F94E3B" w:rsidRDefault="00735035" w:rsidP="00217B93">
      <w:pPr>
        <w:spacing w:line="276" w:lineRule="auto"/>
        <w:ind w:left="-1134"/>
        <w:jc w:val="both"/>
        <w:rPr>
          <w:rFonts w:ascii="Arial" w:hAnsi="Arial" w:cs="Arial"/>
          <w:sz w:val="24"/>
          <w:szCs w:val="24"/>
        </w:rPr>
      </w:pPr>
      <w:r w:rsidRPr="00F94E3B">
        <w:rPr>
          <w:rFonts w:ascii="Arial" w:hAnsi="Arial" w:cs="Arial"/>
          <w:sz w:val="24"/>
          <w:szCs w:val="24"/>
        </w:rPr>
        <w:t xml:space="preserve">Las facultades conferidas por esta Ley a los titulares de las dependencias podrán ser ejercidas por los titulares de sus órganos desconcentrados, previo acuerdo delegatorio. </w:t>
      </w:r>
    </w:p>
    <w:p w14:paraId="573072F6" w14:textId="77777777" w:rsidR="001120F4" w:rsidRDefault="00735035" w:rsidP="00217B93">
      <w:pPr>
        <w:spacing w:line="276" w:lineRule="auto"/>
        <w:ind w:left="-1134"/>
        <w:jc w:val="both"/>
        <w:rPr>
          <w:rFonts w:ascii="Arial" w:hAnsi="Arial" w:cs="Arial"/>
          <w:sz w:val="24"/>
          <w:szCs w:val="24"/>
        </w:rPr>
      </w:pPr>
      <w:r w:rsidRPr="00F94E3B">
        <w:rPr>
          <w:rFonts w:ascii="Arial" w:hAnsi="Arial" w:cs="Arial"/>
          <w:sz w:val="24"/>
          <w:szCs w:val="24"/>
        </w:rPr>
        <w:t xml:space="preserve">Artículo 10. En los casos de adquisiciones, arrendamientos o servicios financiados con fondos provenientes de créditos externos otorgados al gobierno federal o con su garantía por organismos financieros regionales o multilaterales, los procedimientos, requisitos y demás disposiciones para su contratación serán establecidos, con la opinión de la Secretaría, por la Secretaría de la Función Pública aplicando en lo procedente lo dispuesto por esta Ley y deberán precisarse en las convocatorias, invitaciones y contratos correspondientes. </w:t>
      </w:r>
    </w:p>
    <w:p w14:paraId="39C5CEEB" w14:textId="2858D3B3" w:rsidR="00F94E3B" w:rsidRPr="00F94E3B" w:rsidRDefault="00735035" w:rsidP="00217B93">
      <w:pPr>
        <w:spacing w:line="276" w:lineRule="auto"/>
        <w:ind w:left="-1134"/>
        <w:jc w:val="both"/>
        <w:rPr>
          <w:rFonts w:ascii="Arial" w:hAnsi="Arial" w:cs="Arial"/>
          <w:sz w:val="24"/>
          <w:szCs w:val="24"/>
        </w:rPr>
      </w:pPr>
      <w:r w:rsidRPr="00F94E3B">
        <w:rPr>
          <w:rFonts w:ascii="Arial" w:hAnsi="Arial" w:cs="Arial"/>
          <w:sz w:val="24"/>
          <w:szCs w:val="24"/>
        </w:rPr>
        <w:t xml:space="preserve">Artículo 11. Serán supletorias de esta Ley y de las demás disposiciones que de ella se deriven, en lo que corresponda, el Código Civil Federal, la Ley Federal de Procedimiento Administrativo y el Código Federal de Procedimientos Civiles. </w:t>
      </w:r>
    </w:p>
    <w:p w14:paraId="29FA8C00" w14:textId="72BE3717" w:rsidR="00F94E3B" w:rsidRPr="00F94E3B" w:rsidRDefault="00735035" w:rsidP="00217B93">
      <w:pPr>
        <w:spacing w:line="276" w:lineRule="auto"/>
        <w:ind w:left="-1134"/>
        <w:jc w:val="both"/>
        <w:rPr>
          <w:rFonts w:ascii="Arial" w:hAnsi="Arial" w:cs="Arial"/>
          <w:sz w:val="24"/>
          <w:szCs w:val="24"/>
        </w:rPr>
      </w:pPr>
      <w:r w:rsidRPr="00F94E3B">
        <w:rPr>
          <w:rFonts w:ascii="Arial" w:hAnsi="Arial" w:cs="Arial"/>
          <w:sz w:val="24"/>
          <w:szCs w:val="24"/>
        </w:rPr>
        <w:t xml:space="preserve">Artículo 12. Las dependencias y entidades, previamente al arrendamiento de bienes muebles, deberán realizar los estudios de factibilidad a efecto de determinar la conveniencia para su adquisición, mediante arrendamiento con opción a compra. </w:t>
      </w:r>
    </w:p>
    <w:p w14:paraId="706711C6" w14:textId="70EF5E1E" w:rsidR="003A55F8" w:rsidRDefault="00735035" w:rsidP="00217B93">
      <w:pPr>
        <w:spacing w:line="276" w:lineRule="auto"/>
        <w:ind w:left="-1134"/>
        <w:jc w:val="both"/>
        <w:rPr>
          <w:rFonts w:ascii="Arial" w:hAnsi="Arial" w:cs="Arial"/>
          <w:sz w:val="24"/>
          <w:szCs w:val="24"/>
        </w:rPr>
      </w:pPr>
      <w:r w:rsidRPr="00F94E3B">
        <w:rPr>
          <w:rFonts w:ascii="Arial" w:hAnsi="Arial" w:cs="Arial"/>
          <w:sz w:val="24"/>
          <w:szCs w:val="24"/>
        </w:rPr>
        <w:t>Artículo 12 Bis. Para determinar la conveniencia de la adquisición de bienes muebles usados o reconstruidos, las dependencias y entidades deberán realizar un estudio de costo beneficio, con el que se demuestre la conveniencia de su adquisición comparativamente con bienes nuevos; el citado estudio deberá efectuarse mediante avalúo conforme a las disposiciones aplicables, expedido dentro de los seis meses previos, cuando el bien tenga un valor superior a cien mil veces el salario mínimo general vigente en el Distrito Federal, el cual deberá integrarse al expediente de la contratación respectiva.</w:t>
      </w:r>
    </w:p>
    <w:p w14:paraId="002B2F0F" w14:textId="77777777" w:rsidR="001120F4" w:rsidRDefault="001120F4" w:rsidP="00217B93">
      <w:pPr>
        <w:spacing w:line="276" w:lineRule="auto"/>
        <w:ind w:left="-1134"/>
        <w:jc w:val="both"/>
        <w:rPr>
          <w:rFonts w:ascii="Arial" w:hAnsi="Arial" w:cs="Arial"/>
          <w:bCs/>
          <w:sz w:val="24"/>
          <w:szCs w:val="24"/>
        </w:rPr>
      </w:pPr>
      <w:r w:rsidRPr="001120F4">
        <w:rPr>
          <w:rFonts w:ascii="Arial" w:hAnsi="Arial" w:cs="Arial"/>
          <w:bCs/>
          <w:sz w:val="24"/>
          <w:szCs w:val="24"/>
        </w:rPr>
        <w:t xml:space="preserve">Artículo 22. Las dependencias y entidades deberán establecer comités de adquisiciones, arrendamientos y servicios que tendrán las siguientes funciones: </w:t>
      </w:r>
    </w:p>
    <w:p w14:paraId="3E360EFA" w14:textId="24C355C3" w:rsidR="001120F4" w:rsidRPr="001120F4" w:rsidRDefault="001120F4" w:rsidP="001120F4">
      <w:pPr>
        <w:pStyle w:val="Prrafodelista"/>
        <w:numPr>
          <w:ilvl w:val="0"/>
          <w:numId w:val="1"/>
        </w:numPr>
        <w:spacing w:line="276" w:lineRule="auto"/>
        <w:jc w:val="both"/>
        <w:rPr>
          <w:rFonts w:ascii="Arial" w:hAnsi="Arial" w:cs="Arial"/>
          <w:bCs/>
          <w:sz w:val="24"/>
          <w:szCs w:val="24"/>
        </w:rPr>
      </w:pPr>
      <w:r w:rsidRPr="001120F4">
        <w:rPr>
          <w:rFonts w:ascii="Arial" w:hAnsi="Arial" w:cs="Arial"/>
          <w:bCs/>
          <w:sz w:val="24"/>
          <w:szCs w:val="24"/>
        </w:rPr>
        <w:t xml:space="preserve">Revisar el programa y el presupuesto de adquisiciones, arrendamientos y servicios, así como sus modificaciones, y formular las observaciones y recomendaciones convenientes; </w:t>
      </w:r>
    </w:p>
    <w:p w14:paraId="2724A64D" w14:textId="77777777" w:rsidR="001120F4" w:rsidRDefault="001120F4" w:rsidP="001120F4">
      <w:pPr>
        <w:pStyle w:val="Prrafodelista"/>
        <w:numPr>
          <w:ilvl w:val="0"/>
          <w:numId w:val="1"/>
        </w:numPr>
        <w:spacing w:line="276" w:lineRule="auto"/>
        <w:jc w:val="both"/>
        <w:rPr>
          <w:rFonts w:ascii="Arial" w:hAnsi="Arial" w:cs="Arial"/>
          <w:bCs/>
          <w:sz w:val="24"/>
          <w:szCs w:val="24"/>
        </w:rPr>
      </w:pPr>
      <w:r w:rsidRPr="001120F4">
        <w:rPr>
          <w:rFonts w:ascii="Arial" w:hAnsi="Arial" w:cs="Arial"/>
          <w:bCs/>
          <w:sz w:val="24"/>
          <w:szCs w:val="24"/>
        </w:rPr>
        <w:t xml:space="preserve">Dictaminar previamente a la iniciación del procedimiento, sobre la procedencia de la excepción a la licitación pública por encontrarse en alguno de los supuestos a que se refieren las fracciones I, III, VIII, IX segundo párrafo, X, XIII, XIV, XV, XVI, XVII, XVIII y XIX del artículo 41 de esta Ley. Dicha función también podrá ser ejercida directamente por el titular de la dependencia o entidad, o aquel servidor público en quien éste delegue dicha función. En ningún caso la delegación podrá recaer en servidor público con nivel inferior al de director general en las dependencias o su equivalente en las entidades; </w:t>
      </w:r>
    </w:p>
    <w:p w14:paraId="0663BB3E" w14:textId="77777777" w:rsidR="001120F4" w:rsidRDefault="001120F4" w:rsidP="001120F4">
      <w:pPr>
        <w:pStyle w:val="Prrafodelista"/>
        <w:numPr>
          <w:ilvl w:val="0"/>
          <w:numId w:val="1"/>
        </w:numPr>
        <w:spacing w:line="276" w:lineRule="auto"/>
        <w:jc w:val="both"/>
        <w:rPr>
          <w:rFonts w:ascii="Arial" w:hAnsi="Arial" w:cs="Arial"/>
          <w:bCs/>
          <w:sz w:val="24"/>
          <w:szCs w:val="24"/>
        </w:rPr>
      </w:pPr>
      <w:r w:rsidRPr="001120F4">
        <w:rPr>
          <w:rFonts w:ascii="Arial" w:hAnsi="Arial" w:cs="Arial"/>
          <w:bCs/>
          <w:sz w:val="24"/>
          <w:szCs w:val="24"/>
        </w:rPr>
        <w:lastRenderedPageBreak/>
        <w:t xml:space="preserve">Dictaminar los proyectos de políticas, bases y lineamientos en materia de adquisiciones, arrendamientos y servicios que le presenten, así como someterlas a la consideración del titular de la dependencia o el órgano de gobierno de las entidades; en su caso, autorizar los supuestos no previstos en las mismas. Los comités establecerán en dichas políticas, bases y lineamientos, los aspectos de sustentabilidad ambiental, incluyendo la evaluación de las tecnologías que permitan la reducción de la emisión de gases de efecto invernadero y la eficiencia energética, que deberán observarse en las adquisiciones, arrendamientos y servicios, con el objeto de optimizar y utilizar de forma sustentable los recursos para disminuir costos financieros y ambientales; </w:t>
      </w:r>
    </w:p>
    <w:p w14:paraId="6ED8EE9B" w14:textId="77777777" w:rsidR="001120F4" w:rsidRDefault="001120F4" w:rsidP="001120F4">
      <w:pPr>
        <w:pStyle w:val="Prrafodelista"/>
        <w:numPr>
          <w:ilvl w:val="0"/>
          <w:numId w:val="1"/>
        </w:numPr>
        <w:spacing w:line="276" w:lineRule="auto"/>
        <w:jc w:val="both"/>
        <w:rPr>
          <w:rFonts w:ascii="Arial" w:hAnsi="Arial" w:cs="Arial"/>
          <w:bCs/>
          <w:sz w:val="24"/>
          <w:szCs w:val="24"/>
        </w:rPr>
      </w:pPr>
      <w:r w:rsidRPr="001120F4">
        <w:rPr>
          <w:rFonts w:ascii="Arial" w:hAnsi="Arial" w:cs="Arial"/>
          <w:bCs/>
          <w:sz w:val="24"/>
          <w:szCs w:val="24"/>
        </w:rPr>
        <w:t>Analizar trimestralmente el informe de la conclusión y resultados generales de las contrataciones que se realicen y, en su caso, recomendar las medidas necesarias para verificar que el programa</w:t>
      </w:r>
      <w:r>
        <w:rPr>
          <w:rFonts w:ascii="Arial" w:hAnsi="Arial" w:cs="Arial"/>
          <w:bCs/>
          <w:sz w:val="24"/>
          <w:szCs w:val="24"/>
        </w:rPr>
        <w:t xml:space="preserve"> </w:t>
      </w:r>
      <w:r w:rsidRPr="001120F4">
        <w:rPr>
          <w:rFonts w:ascii="Arial" w:hAnsi="Arial" w:cs="Arial"/>
          <w:bCs/>
          <w:sz w:val="24"/>
          <w:szCs w:val="24"/>
        </w:rPr>
        <w:t xml:space="preserve">y presupuesto de adquisiciones, arrendamientos y servicios, se ejecuten en tiempo y forma, así como proponer medidas tendientes a mejorar o corregir sus procesos de contratación y ejecución; </w:t>
      </w:r>
    </w:p>
    <w:p w14:paraId="1FD15E67" w14:textId="77777777" w:rsidR="001120F4" w:rsidRDefault="001120F4" w:rsidP="001120F4">
      <w:pPr>
        <w:pStyle w:val="Prrafodelista"/>
        <w:numPr>
          <w:ilvl w:val="0"/>
          <w:numId w:val="1"/>
        </w:numPr>
        <w:spacing w:line="276" w:lineRule="auto"/>
        <w:jc w:val="both"/>
        <w:rPr>
          <w:rFonts w:ascii="Arial" w:hAnsi="Arial" w:cs="Arial"/>
          <w:bCs/>
          <w:sz w:val="24"/>
          <w:szCs w:val="24"/>
        </w:rPr>
      </w:pPr>
      <w:r w:rsidRPr="001120F4">
        <w:rPr>
          <w:rFonts w:ascii="Arial" w:hAnsi="Arial" w:cs="Arial"/>
          <w:bCs/>
          <w:sz w:val="24"/>
          <w:szCs w:val="24"/>
        </w:rPr>
        <w:t xml:space="preserve">Autorizar, cuando se justifique, la creación de subcomités de adquisiciones, arrendamientos y servicios, así como aprobar la integración y funcionamiento de los mismos; </w:t>
      </w:r>
    </w:p>
    <w:p w14:paraId="42C345CC" w14:textId="77777777" w:rsidR="006315E2" w:rsidRDefault="001120F4" w:rsidP="001120F4">
      <w:pPr>
        <w:pStyle w:val="Prrafodelista"/>
        <w:numPr>
          <w:ilvl w:val="0"/>
          <w:numId w:val="1"/>
        </w:numPr>
        <w:spacing w:line="276" w:lineRule="auto"/>
        <w:jc w:val="both"/>
        <w:rPr>
          <w:rFonts w:ascii="Arial" w:hAnsi="Arial" w:cs="Arial"/>
          <w:bCs/>
          <w:sz w:val="24"/>
          <w:szCs w:val="24"/>
        </w:rPr>
      </w:pPr>
      <w:r w:rsidRPr="001120F4">
        <w:rPr>
          <w:rFonts w:ascii="Arial" w:hAnsi="Arial" w:cs="Arial"/>
          <w:bCs/>
          <w:sz w:val="24"/>
          <w:szCs w:val="24"/>
        </w:rPr>
        <w:t xml:space="preserve">Elaborar y aprobar el manual de integración y funcionamiento del comité, en el cual se deberán considerar cuando menos las siguientes bases: </w:t>
      </w:r>
    </w:p>
    <w:p w14:paraId="7A74BAF5" w14:textId="77777777" w:rsidR="006315E2" w:rsidRDefault="001120F4" w:rsidP="006315E2">
      <w:pPr>
        <w:pStyle w:val="Prrafodelista"/>
        <w:spacing w:line="276" w:lineRule="auto"/>
        <w:ind w:left="-414"/>
        <w:jc w:val="both"/>
        <w:rPr>
          <w:rFonts w:ascii="Arial" w:hAnsi="Arial" w:cs="Arial"/>
          <w:bCs/>
          <w:sz w:val="24"/>
          <w:szCs w:val="24"/>
        </w:rPr>
      </w:pPr>
      <w:r w:rsidRPr="001120F4">
        <w:rPr>
          <w:rFonts w:ascii="Arial" w:hAnsi="Arial" w:cs="Arial"/>
          <w:bCs/>
          <w:sz w:val="24"/>
          <w:szCs w:val="24"/>
        </w:rPr>
        <w:t xml:space="preserve">a) Será presidido por el Oficial Mayor o equivalente; </w:t>
      </w:r>
    </w:p>
    <w:p w14:paraId="750176B0" w14:textId="77777777" w:rsidR="006315E2" w:rsidRDefault="001120F4" w:rsidP="006315E2">
      <w:pPr>
        <w:pStyle w:val="Prrafodelista"/>
        <w:spacing w:line="276" w:lineRule="auto"/>
        <w:ind w:left="-414"/>
        <w:jc w:val="both"/>
        <w:rPr>
          <w:rFonts w:ascii="Arial" w:hAnsi="Arial" w:cs="Arial"/>
          <w:bCs/>
          <w:sz w:val="24"/>
          <w:szCs w:val="24"/>
        </w:rPr>
      </w:pPr>
      <w:r w:rsidRPr="001120F4">
        <w:rPr>
          <w:rFonts w:ascii="Arial" w:hAnsi="Arial" w:cs="Arial"/>
          <w:bCs/>
          <w:sz w:val="24"/>
          <w:szCs w:val="24"/>
        </w:rPr>
        <w:t xml:space="preserve">b) Los vocales titulares deberán tener un nivel jerárquico mínimo de director general o equivalente; </w:t>
      </w:r>
    </w:p>
    <w:p w14:paraId="49F85E73" w14:textId="77777777" w:rsidR="006315E2" w:rsidRDefault="001120F4" w:rsidP="006315E2">
      <w:pPr>
        <w:pStyle w:val="Prrafodelista"/>
        <w:spacing w:line="276" w:lineRule="auto"/>
        <w:ind w:left="-414"/>
        <w:jc w:val="both"/>
        <w:rPr>
          <w:rFonts w:ascii="Arial" w:hAnsi="Arial" w:cs="Arial"/>
          <w:bCs/>
          <w:sz w:val="24"/>
          <w:szCs w:val="24"/>
        </w:rPr>
      </w:pPr>
      <w:r w:rsidRPr="001120F4">
        <w:rPr>
          <w:rFonts w:ascii="Arial" w:hAnsi="Arial" w:cs="Arial"/>
          <w:bCs/>
          <w:sz w:val="24"/>
          <w:szCs w:val="24"/>
        </w:rPr>
        <w:t xml:space="preserve">c) El número total de miembros del Comité deberá ser impar, quienes invariablemente deberán emitir su voto en cada uno de los asuntos que se sometan a su consideración; </w:t>
      </w:r>
    </w:p>
    <w:p w14:paraId="002A877B" w14:textId="77777777" w:rsidR="006315E2" w:rsidRDefault="001120F4" w:rsidP="006315E2">
      <w:pPr>
        <w:pStyle w:val="Prrafodelista"/>
        <w:spacing w:line="276" w:lineRule="auto"/>
        <w:ind w:left="-414"/>
        <w:jc w:val="both"/>
        <w:rPr>
          <w:rFonts w:ascii="Arial" w:hAnsi="Arial" w:cs="Arial"/>
          <w:bCs/>
          <w:sz w:val="24"/>
          <w:szCs w:val="24"/>
        </w:rPr>
      </w:pPr>
      <w:r w:rsidRPr="001120F4">
        <w:rPr>
          <w:rFonts w:ascii="Arial" w:hAnsi="Arial" w:cs="Arial"/>
          <w:bCs/>
          <w:sz w:val="24"/>
          <w:szCs w:val="24"/>
        </w:rPr>
        <w:t xml:space="preserve">d) El área jurídica y el órgano interno de control de la dependencia o entidad, deberán asistir a las sesiones del Comité, como asesor, con voz pero sin voto, debiendo pronunciarse de manera razonada en los asuntos que conozca el Comité. Los asesores titulares no podrán tener un nivel jerárquico inferior al de director general o equivalente, y </w:t>
      </w:r>
    </w:p>
    <w:p w14:paraId="2AE411F8" w14:textId="77777777" w:rsidR="006315E2" w:rsidRDefault="001120F4" w:rsidP="006315E2">
      <w:pPr>
        <w:pStyle w:val="Prrafodelista"/>
        <w:spacing w:line="276" w:lineRule="auto"/>
        <w:ind w:left="-414"/>
        <w:jc w:val="both"/>
        <w:rPr>
          <w:rFonts w:ascii="Arial" w:hAnsi="Arial" w:cs="Arial"/>
          <w:bCs/>
          <w:sz w:val="24"/>
          <w:szCs w:val="24"/>
        </w:rPr>
      </w:pPr>
      <w:r w:rsidRPr="001120F4">
        <w:rPr>
          <w:rFonts w:ascii="Arial" w:hAnsi="Arial" w:cs="Arial"/>
          <w:bCs/>
          <w:sz w:val="24"/>
          <w:szCs w:val="24"/>
        </w:rPr>
        <w:t xml:space="preserve">e) El Comité deberá dictaminar en la misma sesión los asuntos que se presenten a su consideración; el Reglamento de esta Ley establecerá las bases conforme a las cuales los comités podrán de manera excepcional dictaminar los asuntos en una siguiente sesión. </w:t>
      </w:r>
    </w:p>
    <w:p w14:paraId="1649F5A7" w14:textId="77777777" w:rsidR="006315E2" w:rsidRDefault="001120F4" w:rsidP="006315E2">
      <w:pPr>
        <w:pStyle w:val="Prrafodelista"/>
        <w:spacing w:line="276" w:lineRule="auto"/>
        <w:ind w:left="-414"/>
        <w:jc w:val="both"/>
        <w:rPr>
          <w:rFonts w:ascii="Arial" w:hAnsi="Arial" w:cs="Arial"/>
          <w:bCs/>
          <w:sz w:val="24"/>
          <w:szCs w:val="24"/>
        </w:rPr>
      </w:pPr>
      <w:r w:rsidRPr="006315E2">
        <w:rPr>
          <w:rFonts w:ascii="Arial" w:hAnsi="Arial" w:cs="Arial"/>
          <w:bCs/>
          <w:sz w:val="24"/>
          <w:szCs w:val="24"/>
        </w:rPr>
        <w:t xml:space="preserve">Los integrantes del Comité con derecho a voz y voto, así como los asesores del mismo, podrán designar por escrito a sus respectivos suplentes, los que no deberán tener un nivel jerárquico inferior a director de área, y </w:t>
      </w:r>
    </w:p>
    <w:p w14:paraId="75A5F400" w14:textId="4A9AAEF4" w:rsidR="006315E2" w:rsidRDefault="001120F4" w:rsidP="006315E2">
      <w:pPr>
        <w:pStyle w:val="Prrafodelista"/>
        <w:numPr>
          <w:ilvl w:val="0"/>
          <w:numId w:val="1"/>
        </w:numPr>
        <w:spacing w:line="276" w:lineRule="auto"/>
        <w:jc w:val="both"/>
        <w:rPr>
          <w:rFonts w:ascii="Arial" w:hAnsi="Arial" w:cs="Arial"/>
          <w:bCs/>
          <w:sz w:val="24"/>
          <w:szCs w:val="24"/>
        </w:rPr>
      </w:pPr>
      <w:r w:rsidRPr="006315E2">
        <w:rPr>
          <w:rFonts w:ascii="Arial" w:hAnsi="Arial" w:cs="Arial"/>
          <w:bCs/>
          <w:sz w:val="24"/>
          <w:szCs w:val="24"/>
        </w:rPr>
        <w:t xml:space="preserve">Coadyuvar al cumplimiento de </w:t>
      </w:r>
      <w:bookmarkStart w:id="0" w:name="_GoBack"/>
      <w:bookmarkEnd w:id="0"/>
      <w:r w:rsidRPr="006315E2">
        <w:rPr>
          <w:rFonts w:ascii="Arial" w:hAnsi="Arial" w:cs="Arial"/>
          <w:bCs/>
          <w:sz w:val="24"/>
          <w:szCs w:val="24"/>
        </w:rPr>
        <w:t>esta Ley y demás disposiciones aplicables.</w:t>
      </w:r>
    </w:p>
    <w:p w14:paraId="2B36A979" w14:textId="77777777" w:rsidR="006315E2" w:rsidRDefault="001120F4" w:rsidP="006315E2">
      <w:pPr>
        <w:pStyle w:val="Prrafodelista"/>
        <w:spacing w:line="276" w:lineRule="auto"/>
        <w:ind w:left="-414"/>
        <w:jc w:val="both"/>
        <w:rPr>
          <w:rFonts w:ascii="Arial" w:hAnsi="Arial" w:cs="Arial"/>
          <w:bCs/>
          <w:sz w:val="24"/>
          <w:szCs w:val="24"/>
        </w:rPr>
      </w:pPr>
      <w:r w:rsidRPr="006315E2">
        <w:rPr>
          <w:rFonts w:ascii="Arial" w:hAnsi="Arial" w:cs="Arial"/>
          <w:bCs/>
          <w:sz w:val="24"/>
          <w:szCs w:val="24"/>
        </w:rPr>
        <w:t xml:space="preserve"> La Secretaría de la Función Pública podrá autorizar la creación de comités en órganos desconcentrados, cuando la cantidad y monto de sus operaciones o las características de sus funciones así lo justifiquen. </w:t>
      </w:r>
    </w:p>
    <w:p w14:paraId="6BF9FF53" w14:textId="77777777" w:rsidR="006315E2" w:rsidRDefault="001120F4" w:rsidP="006315E2">
      <w:pPr>
        <w:pStyle w:val="Prrafodelista"/>
        <w:spacing w:line="276" w:lineRule="auto"/>
        <w:ind w:left="-414"/>
        <w:jc w:val="both"/>
        <w:rPr>
          <w:rFonts w:ascii="Arial" w:hAnsi="Arial" w:cs="Arial"/>
          <w:bCs/>
          <w:sz w:val="24"/>
          <w:szCs w:val="24"/>
        </w:rPr>
      </w:pPr>
      <w:r w:rsidRPr="006315E2">
        <w:rPr>
          <w:rFonts w:ascii="Arial" w:hAnsi="Arial" w:cs="Arial"/>
          <w:bCs/>
          <w:sz w:val="24"/>
          <w:szCs w:val="24"/>
        </w:rPr>
        <w:t xml:space="preserve">En los casos en que, por la naturaleza de sus funciones o por la magnitud de sus operaciones, no se justifique la instalación de un comité, la Secretaría de la Función Pública podrá autorizar la excepción correspondiente. </w:t>
      </w:r>
    </w:p>
    <w:p w14:paraId="06546EFC" w14:textId="70C50E68" w:rsidR="001120F4" w:rsidRPr="006315E2" w:rsidRDefault="001120F4" w:rsidP="006315E2">
      <w:pPr>
        <w:pStyle w:val="Prrafodelista"/>
        <w:spacing w:line="276" w:lineRule="auto"/>
        <w:ind w:left="-414"/>
        <w:jc w:val="both"/>
        <w:rPr>
          <w:rFonts w:ascii="Arial" w:hAnsi="Arial" w:cs="Arial"/>
          <w:bCs/>
          <w:sz w:val="24"/>
          <w:szCs w:val="24"/>
        </w:rPr>
      </w:pPr>
      <w:r w:rsidRPr="006315E2">
        <w:rPr>
          <w:rFonts w:ascii="Arial" w:hAnsi="Arial" w:cs="Arial"/>
          <w:bCs/>
          <w:sz w:val="24"/>
          <w:szCs w:val="24"/>
        </w:rPr>
        <w:t>La Secretaría de la Función Pública podrá participar como asesor en los comités y subcomités a que se refiere este artículo, pronunciándose de manera fundada y motivada al emitir sus opiniones</w:t>
      </w:r>
    </w:p>
    <w:sectPr w:rsidR="001120F4" w:rsidRPr="006315E2" w:rsidSect="00C538F9">
      <w:pgSz w:w="12240" w:h="15840"/>
      <w:pgMar w:top="1417" w:right="6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C2BF9"/>
    <w:multiLevelType w:val="hybridMultilevel"/>
    <w:tmpl w:val="CA2A348C"/>
    <w:lvl w:ilvl="0" w:tplc="5380B568">
      <w:start w:val="1"/>
      <w:numFmt w:val="upperRoman"/>
      <w:lvlText w:val="%1."/>
      <w:lvlJc w:val="left"/>
      <w:pPr>
        <w:ind w:left="-414" w:hanging="720"/>
      </w:pPr>
      <w:rPr>
        <w:rFonts w:hint="default"/>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ED"/>
    <w:rsid w:val="000477CF"/>
    <w:rsid w:val="000A1EC0"/>
    <w:rsid w:val="000B22CB"/>
    <w:rsid w:val="001120F4"/>
    <w:rsid w:val="001124FB"/>
    <w:rsid w:val="00217B93"/>
    <w:rsid w:val="00236740"/>
    <w:rsid w:val="0024724D"/>
    <w:rsid w:val="00281DF5"/>
    <w:rsid w:val="002A6B05"/>
    <w:rsid w:val="0035382C"/>
    <w:rsid w:val="00387894"/>
    <w:rsid w:val="003A55F8"/>
    <w:rsid w:val="00420108"/>
    <w:rsid w:val="0045593A"/>
    <w:rsid w:val="004E7C82"/>
    <w:rsid w:val="005217D6"/>
    <w:rsid w:val="005400FA"/>
    <w:rsid w:val="00555862"/>
    <w:rsid w:val="00623261"/>
    <w:rsid w:val="006315E2"/>
    <w:rsid w:val="006C3988"/>
    <w:rsid w:val="006D6882"/>
    <w:rsid w:val="00714EA6"/>
    <w:rsid w:val="00735035"/>
    <w:rsid w:val="00815CE5"/>
    <w:rsid w:val="00830FEC"/>
    <w:rsid w:val="008400A2"/>
    <w:rsid w:val="008D4CA6"/>
    <w:rsid w:val="00955B30"/>
    <w:rsid w:val="0097550D"/>
    <w:rsid w:val="00995B82"/>
    <w:rsid w:val="00A53A83"/>
    <w:rsid w:val="00AB1526"/>
    <w:rsid w:val="00B44E15"/>
    <w:rsid w:val="00C16D5B"/>
    <w:rsid w:val="00C538F9"/>
    <w:rsid w:val="00D50C6C"/>
    <w:rsid w:val="00D623ED"/>
    <w:rsid w:val="00E03216"/>
    <w:rsid w:val="00E521C3"/>
    <w:rsid w:val="00F94E3B"/>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5382C"/>
    <w:pPr>
      <w:widowControl w:val="0"/>
      <w:autoSpaceDE w:val="0"/>
      <w:autoSpaceDN w:val="0"/>
      <w:spacing w:after="0" w:line="240" w:lineRule="auto"/>
    </w:pPr>
    <w:rPr>
      <w:rFonts w:ascii="Times New Roman" w:eastAsia="Times New Roman" w:hAnsi="Times New Roman" w:cs="Times New Roman"/>
      <w:sz w:val="21"/>
      <w:szCs w:val="21"/>
      <w:lang w:val="es-ES"/>
    </w:rPr>
  </w:style>
  <w:style w:type="character" w:customStyle="1" w:styleId="TextoindependienteCar">
    <w:name w:val="Texto independiente Car"/>
    <w:basedOn w:val="Fuentedeprrafopredeter"/>
    <w:link w:val="Textoindependiente"/>
    <w:uiPriority w:val="1"/>
    <w:rsid w:val="0035382C"/>
    <w:rPr>
      <w:rFonts w:ascii="Times New Roman" w:eastAsia="Times New Roman" w:hAnsi="Times New Roman" w:cs="Times New Roman"/>
      <w:sz w:val="21"/>
      <w:szCs w:val="21"/>
      <w:lang w:val="es-ES"/>
    </w:rPr>
  </w:style>
  <w:style w:type="paragraph" w:styleId="Prrafodelista">
    <w:name w:val="List Paragraph"/>
    <w:basedOn w:val="Normal"/>
    <w:uiPriority w:val="34"/>
    <w:qFormat/>
    <w:rsid w:val="0011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997</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Substanciador</cp:lastModifiedBy>
  <cp:revision>4</cp:revision>
  <dcterms:created xsi:type="dcterms:W3CDTF">2024-06-11T20:15:00Z</dcterms:created>
  <dcterms:modified xsi:type="dcterms:W3CDTF">2025-01-07T21:26:00Z</dcterms:modified>
</cp:coreProperties>
</file>